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80" w:lineRule="auto"/>
        <w:jc w:val="center"/>
        <w:rPr>
          <w:sz w:val="28"/>
          <w:szCs w:val="28"/>
        </w:rPr>
      </w:pPr>
      <w:r w:rsidDel="00000000" w:rsidR="00000000" w:rsidRPr="00000000">
        <w:rPr>
          <w:sz w:val="28"/>
          <w:szCs w:val="28"/>
        </w:rPr>
        <w:drawing>
          <wp:inline distB="114300" distT="114300" distL="114300" distR="114300">
            <wp:extent cx="5734050" cy="1195388"/>
            <wp:effectExtent b="0" l="0" r="0" t="0"/>
            <wp:docPr id="1"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734050" cy="11953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spacing w:after="280" w:lineRule="auto"/>
        <w:jc w:val="center"/>
        <w:rPr>
          <w:b w:val="1"/>
          <w:bCs w:val="1"/>
          <w:color w:val="000000"/>
          <w:sz w:val="28"/>
          <w:szCs w:val="28"/>
          <w:vertAlign w:val="baseline"/>
        </w:rPr>
      </w:pPr>
      <w:r w:rsidDel="00000000" w:rsidR="00000000" w:rsidRPr="00000000">
        <w:rPr>
          <w:b w:val="1"/>
          <w:bCs w:val="1"/>
          <w:sz w:val="28"/>
          <w:szCs w:val="28"/>
          <w:vertAlign w:val="baseline"/>
          <w:rtl w:val="0"/>
        </w:rPr>
        <w:t xml:space="preserve">Study On Unaffected Distribution Of</w:t>
      </w:r>
      <w:r w:rsidDel="00000000" w:rsidR="00000000" w:rsidRPr="00000000">
        <w:rPr>
          <w:b w:val="1"/>
          <w:bCs w:val="1"/>
          <w:color w:val="000000"/>
          <w:sz w:val="28"/>
          <w:szCs w:val="28"/>
          <w:vertAlign w:val="baseline"/>
          <w:rtl w:val="0"/>
        </w:rPr>
        <w:t xml:space="preserve"> The Linear Transformations</w:t>
      </w:r>
    </w:p>
    <w:p w:rsidR="00000000" w:rsidDel="00000000" w:rsidP="00000000" w:rsidRDefault="00000000" w:rsidRPr="00000000" w14:paraId="00000003">
      <w:pPr>
        <w:spacing w:after="320" w:lineRule="auto"/>
        <w:jc w:val="center"/>
        <w:rPr>
          <w:i w:val="1"/>
          <w:iCs w:val="1"/>
        </w:rPr>
      </w:pPr>
      <w:r w:rsidDel="00000000" w:rsidR="00000000" w:rsidRPr="00000000">
        <w:rPr>
          <w:i w:val="1"/>
          <w:iCs w:val="1"/>
          <w:rtl w:val="0"/>
        </w:rPr>
        <w:t xml:space="preserve">Subtitle if needed (12pt, Italic,line spacing: Before:8pt, after:16pt)</w:t>
      </w:r>
    </w:p>
    <w:p w:rsidR="00000000" w:rsidDel="00000000" w:rsidP="00000000" w:rsidRDefault="00000000" w:rsidRPr="00000000" w14:paraId="00000004">
      <w:pPr>
        <w:spacing w:after="80" w:before="160" w:lineRule="auto"/>
        <w:jc w:val="center"/>
        <w:rPr/>
      </w:pPr>
      <w:r w:rsidDel="00000000" w:rsidR="00000000" w:rsidRPr="00000000">
        <w:rPr>
          <w:vertAlign w:val="superscript"/>
          <w:rtl w:val="0"/>
        </w:rPr>
        <w:t xml:space="preserve">1</w:t>
      </w:r>
      <w:r w:rsidDel="00000000" w:rsidR="00000000" w:rsidRPr="00000000">
        <w:rPr>
          <w:rtl w:val="0"/>
        </w:rPr>
        <w:t xml:space="preserve">Name of 1</w:t>
      </w:r>
      <w:r w:rsidDel="00000000" w:rsidR="00000000" w:rsidRPr="00000000">
        <w:rPr>
          <w:vertAlign w:val="superscript"/>
          <w:rtl w:val="0"/>
        </w:rPr>
        <w:t xml:space="preserve">st</w:t>
      </w:r>
      <w:r w:rsidDel="00000000" w:rsidR="00000000" w:rsidRPr="00000000">
        <w:rPr>
          <w:rtl w:val="0"/>
        </w:rPr>
        <w:t xml:space="preserve"> Author, </w:t>
      </w:r>
      <w:r w:rsidDel="00000000" w:rsidR="00000000" w:rsidRPr="00000000">
        <w:rPr>
          <w:vertAlign w:val="superscript"/>
          <w:rtl w:val="0"/>
        </w:rPr>
        <w:t xml:space="preserve">2</w:t>
      </w:r>
      <w:r w:rsidDel="00000000" w:rsidR="00000000" w:rsidRPr="00000000">
        <w:rPr>
          <w:rtl w:val="0"/>
        </w:rPr>
        <w:t xml:space="preserve">Name of 2</w:t>
      </w:r>
      <w:r w:rsidDel="00000000" w:rsidR="00000000" w:rsidRPr="00000000">
        <w:rPr>
          <w:vertAlign w:val="superscript"/>
          <w:rtl w:val="0"/>
        </w:rPr>
        <w:t xml:space="preserve">nd</w:t>
      </w:r>
      <w:r w:rsidDel="00000000" w:rsidR="00000000" w:rsidRPr="00000000">
        <w:rPr>
          <w:rtl w:val="0"/>
        </w:rPr>
        <w:t xml:space="preserve"> Author, </w:t>
      </w:r>
      <w:r w:rsidDel="00000000" w:rsidR="00000000" w:rsidRPr="00000000">
        <w:rPr>
          <w:vertAlign w:val="superscript"/>
          <w:rtl w:val="0"/>
        </w:rPr>
        <w:t xml:space="preserve">3</w:t>
      </w:r>
      <w:r w:rsidDel="00000000" w:rsidR="00000000" w:rsidRPr="00000000">
        <w:rPr>
          <w:rtl w:val="0"/>
        </w:rPr>
        <w:t xml:space="preserve">Name of 3</w:t>
      </w:r>
      <w:r w:rsidDel="00000000" w:rsidR="00000000" w:rsidRPr="00000000">
        <w:rPr>
          <w:vertAlign w:val="superscript"/>
          <w:rtl w:val="0"/>
        </w:rPr>
        <w:t xml:space="preserve">rd</w:t>
      </w:r>
      <w:r w:rsidDel="00000000" w:rsidR="00000000" w:rsidRPr="00000000">
        <w:rPr>
          <w:rtl w:val="0"/>
        </w:rPr>
        <w:t xml:space="preserve"> Author</w:t>
      </w:r>
    </w:p>
    <w:p w:rsidR="00000000" w:rsidDel="00000000" w:rsidP="00000000" w:rsidRDefault="00000000" w:rsidRPr="00000000" w14:paraId="00000005">
      <w:pPr>
        <w:jc w:val="center"/>
        <w:rPr/>
      </w:pPr>
      <w:r w:rsidDel="00000000" w:rsidR="00000000" w:rsidRPr="00000000">
        <w:rPr>
          <w:vertAlign w:val="superscript"/>
          <w:rtl w:val="0"/>
        </w:rPr>
        <w:t xml:space="preserve">1</w:t>
      </w:r>
      <w:r w:rsidDel="00000000" w:rsidR="00000000" w:rsidRPr="00000000">
        <w:rPr>
          <w:rtl w:val="0"/>
        </w:rPr>
        <w:t xml:space="preserve">Designation of 1</w:t>
      </w:r>
      <w:r w:rsidDel="00000000" w:rsidR="00000000" w:rsidRPr="00000000">
        <w:rPr>
          <w:vertAlign w:val="superscript"/>
          <w:rtl w:val="0"/>
        </w:rPr>
        <w:t xml:space="preserve">st</w:t>
      </w:r>
      <w:r w:rsidDel="00000000" w:rsidR="00000000" w:rsidRPr="00000000">
        <w:rPr>
          <w:rtl w:val="0"/>
        </w:rPr>
        <w:t xml:space="preserve"> Author, </w:t>
      </w:r>
      <w:r w:rsidDel="00000000" w:rsidR="00000000" w:rsidRPr="00000000">
        <w:rPr>
          <w:vertAlign w:val="superscript"/>
          <w:rtl w:val="0"/>
        </w:rPr>
        <w:t xml:space="preserve">2</w:t>
      </w:r>
      <w:r w:rsidDel="00000000" w:rsidR="00000000" w:rsidRPr="00000000">
        <w:rPr>
          <w:rtl w:val="0"/>
        </w:rPr>
        <w:t xml:space="preserve">Designation of 2</w:t>
      </w:r>
      <w:r w:rsidDel="00000000" w:rsidR="00000000" w:rsidRPr="00000000">
        <w:rPr>
          <w:vertAlign w:val="superscript"/>
          <w:rtl w:val="0"/>
        </w:rPr>
        <w:t xml:space="preserve">nd</w:t>
      </w:r>
      <w:r w:rsidDel="00000000" w:rsidR="00000000" w:rsidRPr="00000000">
        <w:rPr>
          <w:rtl w:val="0"/>
        </w:rPr>
        <w:t xml:space="preserve"> Author, </w:t>
      </w:r>
      <w:r w:rsidDel="00000000" w:rsidR="00000000" w:rsidRPr="00000000">
        <w:rPr>
          <w:vertAlign w:val="superscript"/>
          <w:rtl w:val="0"/>
        </w:rPr>
        <w:t xml:space="preserve">3</w:t>
      </w:r>
      <w:r w:rsidDel="00000000" w:rsidR="00000000" w:rsidRPr="00000000">
        <w:rPr>
          <w:rtl w:val="0"/>
        </w:rPr>
        <w:t xml:space="preserve">Designation of 3</w:t>
      </w:r>
      <w:r w:rsidDel="00000000" w:rsidR="00000000" w:rsidRPr="00000000">
        <w:rPr>
          <w:vertAlign w:val="superscript"/>
          <w:rtl w:val="0"/>
        </w:rPr>
        <w:t xml:space="preserve">rd</w:t>
      </w:r>
      <w:r w:rsidDel="00000000" w:rsidR="00000000" w:rsidRPr="00000000">
        <w:rPr>
          <w:rtl w:val="0"/>
        </w:rPr>
        <w:t xml:space="preserve"> Author</w:t>
      </w:r>
    </w:p>
    <w:p w:rsidR="00000000" w:rsidDel="00000000" w:rsidP="00000000" w:rsidRDefault="00000000" w:rsidRPr="00000000" w14:paraId="00000006">
      <w:pPr>
        <w:jc w:val="center"/>
        <w:rPr/>
      </w:pPr>
      <w:r w:rsidDel="00000000" w:rsidR="00000000" w:rsidRPr="00000000">
        <w:rPr>
          <w:vertAlign w:val="superscript"/>
          <w:rtl w:val="0"/>
        </w:rPr>
        <w:t xml:space="preserve">1</w:t>
      </w:r>
      <w:r w:rsidDel="00000000" w:rsidR="00000000" w:rsidRPr="00000000">
        <w:rPr>
          <w:rtl w:val="0"/>
        </w:rPr>
        <w:t xml:space="preserve">Name of Department of 1</w:t>
      </w:r>
      <w:r w:rsidDel="00000000" w:rsidR="00000000" w:rsidRPr="00000000">
        <w:rPr>
          <w:vertAlign w:val="superscript"/>
          <w:rtl w:val="0"/>
        </w:rPr>
        <w:t xml:space="preserve">st</w:t>
      </w:r>
      <w:r w:rsidDel="00000000" w:rsidR="00000000" w:rsidRPr="00000000">
        <w:rPr>
          <w:rtl w:val="0"/>
        </w:rPr>
        <w:t xml:space="preserve"> Author, </w:t>
      </w:r>
    </w:p>
    <w:p w:rsidR="00000000" w:rsidDel="00000000" w:rsidP="00000000" w:rsidRDefault="00000000" w:rsidRPr="00000000" w14:paraId="00000007">
      <w:pPr>
        <w:jc w:val="center"/>
        <w:rPr/>
      </w:pPr>
      <w:r w:rsidDel="00000000" w:rsidR="00000000" w:rsidRPr="00000000">
        <w:rPr>
          <w:vertAlign w:val="superscript"/>
          <w:rtl w:val="0"/>
        </w:rPr>
        <w:t xml:space="preserve">1</w:t>
      </w:r>
      <w:r w:rsidDel="00000000" w:rsidR="00000000" w:rsidRPr="00000000">
        <w:rPr>
          <w:rtl w:val="0"/>
        </w:rPr>
        <w:t xml:space="preserve">Name of organization of 1</w:t>
      </w:r>
      <w:r w:rsidDel="00000000" w:rsidR="00000000" w:rsidRPr="00000000">
        <w:rPr>
          <w:vertAlign w:val="superscript"/>
          <w:rtl w:val="0"/>
        </w:rPr>
        <w:t xml:space="preserve">st</w:t>
      </w:r>
      <w:r w:rsidDel="00000000" w:rsidR="00000000" w:rsidRPr="00000000">
        <w:rPr>
          <w:rtl w:val="0"/>
        </w:rPr>
        <w:t xml:space="preserve"> Author, City, Country</w:t>
      </w:r>
      <w:r w:rsidDel="00000000" w:rsidR="00000000" w:rsidRPr="00000000">
        <w:rPr>
          <w:rtl w:val="0"/>
        </w:rPr>
      </w:r>
    </w:p>
    <w:p w:rsidR="00000000" w:rsidDel="00000000" w:rsidP="00000000" w:rsidRDefault="00000000" w:rsidRPr="00000000" w14:paraId="00000008">
      <w:pPr>
        <w:pStyle w:val="Heading2"/>
        <w:spacing w:after="280" w:before="280" w:lineRule="auto"/>
        <w:jc w:val="center"/>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paper reveals that a linear transformation is a transformation of the form X' = a + bX. If a measurement system approximated an interval scale before the linear transformation, it will approximate it to the same degree after the linear transformation. Other properties of the distribution are similarly unaffected. For example, if a distribution was positively skewed before the transformation, it will be positively skewed after.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b w:val="1"/>
          <w:bCs w:val="1"/>
          <w:i w:val="1"/>
          <w:iCs w:val="1"/>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Keywords: linear transformation, positively skewed, multiplicative component, etc.</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b w:val="1"/>
          <w:bCs w:val="1"/>
          <w:i w:val="1"/>
          <w:i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numPr>
          <w:ilvl w:val="0"/>
          <w:numId w:val="2"/>
        </w:numPr>
        <w:pBdr>
          <w:top w:color="000000" w:space="0" w:sz="0" w:val="none"/>
          <w:bottom w:color="000000" w:space="0" w:sz="0" w:val="none"/>
          <w:right w:color="000000" w:space="0" w:sz="0" w:val="none"/>
          <w:between w:color="000000" w:space="0" w:sz="0" w:val="none"/>
        </w:pBdr>
        <w:ind w:left="720" w:hanging="360"/>
        <w:rPr/>
      </w:pPr>
      <w:r w:rsidDel="00000000" w:rsidR="00000000" w:rsidRPr="00000000">
        <w:rPr>
          <w:b w:val="1"/>
          <w:bCs w:val="1"/>
          <w:smallCaps w:val="1"/>
          <w:sz w:val="20"/>
          <w:szCs w:val="20"/>
          <w:rtl w:val="0"/>
        </w:rPr>
        <w:t xml:space="preserve">Introduction</w:t>
      </w:r>
      <w:r w:rsidDel="00000000" w:rsidR="00000000" w:rsidRPr="00000000">
        <w:rPr>
          <w:smallCaps w:val="1"/>
          <w:sz w:val="20"/>
          <w:szCs w:val="20"/>
          <w:shd w:fill="c6c6c6" w:val="clear"/>
          <w:rtl w:val="0"/>
        </w:rPr>
        <w:t xml:space="preserve"> </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Page size: </w:t>
      </w:r>
      <w:r w:rsidDel="00000000" w:rsidR="00000000" w:rsidRPr="00000000">
        <w:rPr>
          <w:rFonts w:ascii="Arial" w:cs="Arial" w:eastAsia="Arial" w:hAnsi="Arial"/>
          <w:color w:val="222222"/>
          <w:sz w:val="20"/>
          <w:szCs w:val="20"/>
          <w:rtl w:val="0"/>
        </w:rPr>
        <w:t xml:space="preserve">A4 size only</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Text Column</w:t>
      </w:r>
      <w:r w:rsidDel="00000000" w:rsidR="00000000" w:rsidRPr="00000000">
        <w:rPr>
          <w:rFonts w:ascii="Arial" w:cs="Arial" w:eastAsia="Arial" w:hAnsi="Arial"/>
          <w:color w:val="222222"/>
          <w:sz w:val="20"/>
          <w:szCs w:val="20"/>
          <w:rtl w:val="0"/>
        </w:rPr>
        <w:t xml:space="preserve">: Single </w:t>
      </w:r>
      <w:r w:rsidDel="00000000" w:rsidR="00000000" w:rsidRPr="00000000">
        <w:rPr>
          <w:rFonts w:ascii="Arial" w:cs="Arial" w:eastAsia="Arial" w:hAnsi="Arial"/>
          <w:b w:val="1"/>
          <w:bCs w:val="1"/>
          <w:color w:val="222222"/>
          <w:sz w:val="20"/>
          <w:szCs w:val="20"/>
          <w:rtl w:val="0"/>
        </w:rPr>
        <w:t xml:space="preserve">texts align:  justify</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Title: 14pt Times New Roman align: centre</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Page Margins:</w:t>
      </w:r>
      <w:r w:rsidDel="00000000" w:rsidR="00000000" w:rsidRPr="00000000">
        <w:rPr>
          <w:rFonts w:ascii="Arial" w:cs="Arial" w:eastAsia="Arial" w:hAnsi="Arial"/>
          <w:color w:val="222222"/>
          <w:sz w:val="20"/>
          <w:szCs w:val="20"/>
          <w:rtl w:val="0"/>
        </w:rPr>
        <w:t xml:space="preserve">  Left – 1”, Right – 1”, Top – 1”, Bottom – 1”</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Font:</w:t>
      </w:r>
      <w:r w:rsidDel="00000000" w:rsidR="00000000" w:rsidRPr="00000000">
        <w:rPr>
          <w:rFonts w:ascii="Arial" w:cs="Arial" w:eastAsia="Arial" w:hAnsi="Arial"/>
          <w:color w:val="222222"/>
          <w:sz w:val="20"/>
          <w:szCs w:val="20"/>
          <w:rtl w:val="0"/>
        </w:rPr>
        <w:t xml:space="preserve"> </w:t>
      </w:r>
      <w:r w:rsidDel="00000000" w:rsidR="00000000" w:rsidRPr="00000000">
        <w:rPr>
          <w:rFonts w:ascii="Roboto" w:cs="Roboto" w:eastAsia="Roboto" w:hAnsi="Roboto"/>
          <w:color w:val="111111"/>
          <w:sz w:val="20"/>
          <w:szCs w:val="20"/>
          <w:shd w:fill="f0f5fa" w:val="clear"/>
          <w:rtl w:val="0"/>
        </w:rPr>
        <w:t xml:space="preserve">Times New Roman (Title: 14pt Bold | Body Text: 12pt Regular)/(Hindi: Mangal, Title: 14pt Bold | Body Text: 12pt)</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Figure caption:</w:t>
      </w:r>
      <w:r w:rsidDel="00000000" w:rsidR="00000000" w:rsidRPr="00000000">
        <w:rPr>
          <w:rFonts w:ascii="Arial" w:cs="Arial" w:eastAsia="Arial" w:hAnsi="Arial"/>
          <w:color w:val="222222"/>
          <w:sz w:val="20"/>
          <w:szCs w:val="20"/>
          <w:rtl w:val="0"/>
        </w:rPr>
        <w:t xml:space="preserve"> Font size- 10”, lower case and Write below the figure, position-center</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Table Caption:</w:t>
      </w:r>
      <w:r w:rsidDel="00000000" w:rsidR="00000000" w:rsidRPr="00000000">
        <w:rPr>
          <w:rFonts w:ascii="Arial" w:cs="Arial" w:eastAsia="Arial" w:hAnsi="Arial"/>
          <w:color w:val="222222"/>
          <w:sz w:val="20"/>
          <w:szCs w:val="20"/>
          <w:rtl w:val="0"/>
        </w:rPr>
        <w:t xml:space="preserve">  Font- 10”, lower case and Top of the table, position-center</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Paragraph:</w:t>
      </w:r>
      <w:r w:rsidDel="00000000" w:rsidR="00000000" w:rsidRPr="00000000">
        <w:rPr>
          <w:rFonts w:ascii="Arial" w:cs="Arial" w:eastAsia="Arial" w:hAnsi="Arial"/>
          <w:color w:val="222222"/>
          <w:sz w:val="20"/>
          <w:szCs w:val="20"/>
          <w:rtl w:val="0"/>
        </w:rPr>
        <w:t xml:space="preserve"> Paragraph Indentation by- 0.2”</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Line Spacing:</w:t>
      </w:r>
      <w:r w:rsidDel="00000000" w:rsidR="00000000" w:rsidRPr="00000000">
        <w:rPr>
          <w:rFonts w:ascii="Arial" w:cs="Arial" w:eastAsia="Arial" w:hAnsi="Arial"/>
          <w:color w:val="222222"/>
          <w:sz w:val="20"/>
          <w:szCs w:val="20"/>
          <w:rtl w:val="0"/>
        </w:rPr>
        <w:t xml:space="preserve"> single</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Before</w:t>
      </w:r>
      <w:r w:rsidDel="00000000" w:rsidR="00000000" w:rsidRPr="00000000">
        <w:rPr>
          <w:rFonts w:ascii="Arial" w:cs="Arial" w:eastAsia="Arial" w:hAnsi="Arial"/>
          <w:color w:val="222222"/>
          <w:sz w:val="20"/>
          <w:szCs w:val="20"/>
          <w:rtl w:val="0"/>
        </w:rPr>
        <w:t xml:space="preserve">: 0” </w:t>
      </w:r>
      <w:r w:rsidDel="00000000" w:rsidR="00000000" w:rsidRPr="00000000">
        <w:rPr>
          <w:rFonts w:ascii="Arial" w:cs="Arial" w:eastAsia="Arial" w:hAnsi="Arial"/>
          <w:b w:val="1"/>
          <w:bCs w:val="1"/>
          <w:color w:val="222222"/>
          <w:sz w:val="20"/>
          <w:szCs w:val="20"/>
          <w:rtl w:val="0"/>
        </w:rPr>
        <w:t xml:space="preserve">After:</w:t>
      </w:r>
      <w:r w:rsidDel="00000000" w:rsidR="00000000" w:rsidRPr="00000000">
        <w:rPr>
          <w:rFonts w:ascii="Arial" w:cs="Arial" w:eastAsia="Arial" w:hAnsi="Arial"/>
          <w:color w:val="222222"/>
          <w:sz w:val="20"/>
          <w:szCs w:val="20"/>
          <w:rtl w:val="0"/>
        </w:rPr>
        <w:t xml:space="preserve"> 0”</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Fonts w:ascii="Arial" w:cs="Arial" w:eastAsia="Arial" w:hAnsi="Arial"/>
          <w:b w:val="1"/>
          <w:bCs w:val="1"/>
          <w:color w:val="222222"/>
          <w:sz w:val="20"/>
          <w:szCs w:val="20"/>
          <w:rtl w:val="0"/>
        </w:rPr>
        <w:t xml:space="preserve">Header</w:t>
      </w:r>
      <w:r w:rsidDel="00000000" w:rsidR="00000000" w:rsidRPr="00000000">
        <w:rPr>
          <w:rFonts w:ascii="Arial" w:cs="Arial" w:eastAsia="Arial" w:hAnsi="Arial"/>
          <w:color w:val="222222"/>
          <w:sz w:val="20"/>
          <w:szCs w:val="20"/>
          <w:rtl w:val="0"/>
        </w:rPr>
        <w:t xml:space="preserve"> 0.3” </w:t>
      </w:r>
      <w:r w:rsidDel="00000000" w:rsidR="00000000" w:rsidRPr="00000000">
        <w:rPr>
          <w:rFonts w:ascii="Arial" w:cs="Arial" w:eastAsia="Arial" w:hAnsi="Arial"/>
          <w:b w:val="1"/>
          <w:bCs w:val="1"/>
          <w:color w:val="222222"/>
          <w:sz w:val="20"/>
          <w:szCs w:val="20"/>
          <w:rtl w:val="0"/>
        </w:rPr>
        <w:t xml:space="preserve">footer</w:t>
      </w:r>
      <w:r w:rsidDel="00000000" w:rsidR="00000000" w:rsidRPr="00000000">
        <w:rPr>
          <w:rFonts w:ascii="Arial" w:cs="Arial" w:eastAsia="Arial" w:hAnsi="Arial"/>
          <w:color w:val="222222"/>
          <w:sz w:val="20"/>
          <w:szCs w:val="20"/>
          <w:rtl w:val="0"/>
        </w:rPr>
        <w:t xml:space="preserve"> 0”</w:t>
      </w:r>
      <w:r w:rsidDel="00000000" w:rsidR="00000000" w:rsidRPr="00000000">
        <w:rPr>
          <w:rFonts w:ascii="Arial" w:cs="Arial" w:eastAsia="Arial" w:hAnsi="Arial"/>
          <w:color w:val="222222"/>
          <w:sz w:val="20"/>
          <w:szCs w:val="20"/>
          <w:shd w:fill="c6c6c6" w:val="clear"/>
          <w:rtl w:val="0"/>
        </w:rPr>
        <w:t xml:space="preserve">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rPr>
          <w:rFonts w:ascii="Arial" w:cs="Arial" w:eastAsia="Arial" w:hAnsi="Arial"/>
          <w:color w:val="222222"/>
          <w:sz w:val="20"/>
          <w:szCs w:val="20"/>
          <w:shd w:fill="c6c6c6" w:val="clear"/>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rPr>
      </w:pP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symbols in the transformation equation,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a + bX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have the following meaning. The raw score is denoted by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score after the transformation is denoted by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read X prime or X transformed.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multiplicative component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the</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linear transformation, sometimes called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slope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additive component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sometimes referred to as the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intercept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"a" and "b" of the transformation are set to real values to specify a transformation.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transformation is performed by first multiplying every score value by the multiplicative component "b" and then adding the additive component "a" to it. For example, the following set of data is linearly transformed with the transformation 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20 + 3*X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where a = 20 and b = 3.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Linear Transformation - a=20, b=3</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TABLE-1</w:t>
      </w:r>
    </w:p>
    <w:tbl>
      <w:tblPr>
        <w:tblStyle w:val="Table1"/>
        <w:tblW w:w="8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6"/>
        <w:gridCol w:w="1641"/>
        <w:gridCol w:w="362"/>
        <w:gridCol w:w="6246"/>
        <w:tblGridChange w:id="0">
          <w:tblGrid>
            <w:gridCol w:w="276"/>
            <w:gridCol w:w="1641"/>
            <w:gridCol w:w="362"/>
            <w:gridCol w:w="6246"/>
          </w:tblGrid>
        </w:tblGridChange>
      </w:tblGrid>
      <w:tr>
        <w:trPr>
          <w:cantSplit w:val="0"/>
          <w:tblHeader w:val="0"/>
        </w:trPr>
        <w:tc>
          <w:tcPr>
            <w:vAlign w:val="top"/>
          </w:tcPr>
          <w:p w:rsidR="00000000" w:rsidDel="00000000" w:rsidP="00000000" w:rsidRDefault="00000000" w:rsidRPr="00000000" w14:paraId="00000021">
            <w:pPr>
              <w:jc w:val="both"/>
              <w:rP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vAlign w:val="top"/>
          </w:tcPr>
          <w:p w:rsidR="00000000" w:rsidDel="00000000" w:rsidP="00000000" w:rsidRDefault="00000000" w:rsidRPr="00000000" w14:paraId="00000023">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a + bX</w:t>
            </w:r>
          </w:p>
        </w:tc>
      </w:tr>
      <w:tr>
        <w:trPr>
          <w:cantSplit w:val="0"/>
          <w:tblHeader w:val="0"/>
        </w:trPr>
        <w:tc>
          <w:tcPr>
            <w:vAlign w:val="top"/>
          </w:tcPr>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27">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w:t>
            </w:r>
          </w:p>
        </w:tc>
      </w:tr>
      <w:tr>
        <w:trPr>
          <w:cantSplit w:val="0"/>
          <w:tblHeader w:val="0"/>
        </w:trPr>
        <w:tc>
          <w:tcPr>
            <w:vAlign w:val="top"/>
          </w:tcPr>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w:t>
            </w:r>
          </w:p>
        </w:tc>
      </w:tr>
      <w:tr>
        <w:trPr>
          <w:cantSplit w:val="0"/>
          <w:tblHeader w:val="0"/>
        </w:trPr>
        <w:tc>
          <w:tcPr>
            <w:vAlign w:val="top"/>
          </w:tcPr>
          <w:p w:rsidR="00000000" w:rsidDel="00000000" w:rsidP="00000000" w:rsidRDefault="00000000" w:rsidRPr="00000000" w14:paraId="0000002D">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2F">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w:t>
            </w:r>
          </w:p>
        </w:tc>
      </w:tr>
      <w:tr>
        <w:trPr>
          <w:cantSplit w:val="0"/>
          <w:tblHeader w:val="0"/>
        </w:trPr>
        <w:tc>
          <w:tcPr>
            <w:vAlign w:val="top"/>
          </w:tcPr>
          <w:p w:rsidR="00000000" w:rsidDel="00000000" w:rsidP="00000000" w:rsidRDefault="00000000" w:rsidRPr="00000000" w14:paraId="00000031">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033">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w:t>
            </w:r>
          </w:p>
        </w:tc>
      </w:tr>
      <w:tr>
        <w:trPr>
          <w:cantSplit w:val="0"/>
          <w:tblHeader w:val="0"/>
        </w:trPr>
        <w:tc>
          <w:tcPr>
            <w:vAlign w:val="top"/>
          </w:tcPr>
          <w:p w:rsidR="00000000" w:rsidDel="00000000" w:rsidP="00000000" w:rsidRDefault="00000000" w:rsidRPr="00000000" w14:paraId="00000035">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037">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w:t>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Calculated by Author</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score value of 12, for example, is transformed first by multiplication by 3 to get 36 and then this product is added to 20 to get the result of 56.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Purpose of the study:</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main aim of this paper is to analyse that the effect of the linear transformation on the mean and standard deviation of the scores is of </w:t>
      </w:r>
      <w:r w:rsidDel="00000000" w:rsidR="00000000" w:rsidRPr="00000000">
        <w:rPr>
          <w:rtl w:val="0"/>
        </w:rPr>
        <w:t xml:space="preserve">considerable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interest. For that reason, both, the additive and multiplicative components, of the transformation will be examined separately for their relative effects.</w:t>
      </w:r>
    </w:p>
    <w:p w:rsidR="00000000" w:rsidDel="00000000" w:rsidP="00000000" w:rsidRDefault="00000000" w:rsidRPr="00000000" w14:paraId="0000003D">
      <w:pPr>
        <w:pStyle w:val="Heading3"/>
        <w:spacing w:after="280" w:before="280" w:lineRule="auto"/>
        <w:jc w:val="both"/>
        <w:rPr>
          <w:sz w:val="24"/>
          <w:szCs w:val="24"/>
          <w:vertAlign w:val="baseline"/>
        </w:rPr>
      </w:pPr>
      <w:r w:rsidDel="00000000" w:rsidR="00000000" w:rsidRPr="00000000">
        <w:rPr>
          <w:b w:val="1"/>
          <w:bCs w:val="1"/>
          <w:sz w:val="24"/>
          <w:szCs w:val="24"/>
          <w:vertAlign w:val="baseline"/>
          <w:rtl w:val="0"/>
        </w:rPr>
        <w:t xml:space="preserve">Analysis of this study:</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 multiplicative component is set equal to one, the linear transformation becomes X' = a + X, so that the effect of the additive component may be examined. With this transformation, a constant is added to every score. An example additive transformation is shown below: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Linear Transformation - a=20, b=1</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TABLE-2</w:t>
      </w:r>
    </w:p>
    <w:tbl>
      <w:tblPr>
        <w:tblStyle w:val="Table2"/>
        <w:tblW w:w="8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1"/>
        <w:gridCol w:w="1608"/>
        <w:gridCol w:w="1473"/>
        <w:gridCol w:w="4123"/>
        <w:tblGridChange w:id="0">
          <w:tblGrid>
            <w:gridCol w:w="1321"/>
            <w:gridCol w:w="1608"/>
            <w:gridCol w:w="1473"/>
            <w:gridCol w:w="4123"/>
          </w:tblGrid>
        </w:tblGridChange>
      </w:tblGrid>
      <w:tr>
        <w:trPr>
          <w:cantSplit w:val="0"/>
          <w:tblHeader w:val="0"/>
        </w:trPr>
        <w:tc>
          <w:tcPr>
            <w:vAlign w:val="top"/>
          </w:tcPr>
          <w:p w:rsidR="00000000" w:rsidDel="00000000" w:rsidP="00000000" w:rsidRDefault="00000000" w:rsidRPr="00000000" w14:paraId="00000041">
            <w:pPr>
              <w:jc w:val="both"/>
              <w:rPr>
                <w:vertAlign w:val="baseline"/>
              </w:rPr>
            </w:pPr>
            <w:r w:rsidDel="00000000" w:rsidR="00000000" w:rsidRPr="00000000">
              <w:rPr>
                <w:rtl w:val="0"/>
              </w:rPr>
            </w:r>
          </w:p>
        </w:tc>
        <w:tc>
          <w:tcPr>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vAlign w:val="top"/>
          </w:tcPr>
          <w:p w:rsidR="00000000" w:rsidDel="00000000" w:rsidP="00000000" w:rsidRDefault="00000000" w:rsidRPr="00000000" w14:paraId="00000043">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a + bX</w:t>
            </w:r>
          </w:p>
        </w:tc>
      </w:tr>
      <w:tr>
        <w:trPr>
          <w:cantSplit w:val="0"/>
          <w:tblHeader w:val="0"/>
        </w:trPr>
        <w:tc>
          <w:tcPr>
            <w:vAlign w:val="top"/>
          </w:tcPr>
          <w:p w:rsidR="00000000" w:rsidDel="00000000" w:rsidP="00000000" w:rsidRDefault="00000000" w:rsidRPr="00000000" w14:paraId="00000045">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47">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p>
        </w:tc>
      </w:tr>
      <w:tr>
        <w:trPr>
          <w:cantSplit w:val="0"/>
          <w:tblHeader w:val="0"/>
        </w:trPr>
        <w:tc>
          <w:tcPr>
            <w:vAlign w:val="top"/>
          </w:tcPr>
          <w:p w:rsidR="00000000" w:rsidDel="00000000" w:rsidP="00000000" w:rsidRDefault="00000000" w:rsidRPr="00000000" w14:paraId="00000049">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4B">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r>
      <w:tr>
        <w:trPr>
          <w:cantSplit w:val="0"/>
          <w:tblHeader w:val="0"/>
        </w:trPr>
        <w:tc>
          <w:tcPr>
            <w:vAlign w:val="top"/>
          </w:tcPr>
          <w:p w:rsidR="00000000" w:rsidDel="00000000" w:rsidP="00000000" w:rsidRDefault="00000000" w:rsidRPr="00000000" w14:paraId="0000004D">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4F">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r>
      <w:tr>
        <w:trPr>
          <w:cantSplit w:val="0"/>
          <w:tblHeader w:val="0"/>
        </w:trPr>
        <w:tc>
          <w:tcPr>
            <w:vAlign w:val="top"/>
          </w:tcPr>
          <w:p w:rsidR="00000000" w:rsidDel="00000000" w:rsidP="00000000" w:rsidRDefault="00000000" w:rsidRPr="00000000" w14:paraId="00000051">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053">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r>
      <w:tr>
        <w:trPr>
          <w:cantSplit w:val="0"/>
          <w:tblHeader w:val="0"/>
        </w:trPr>
        <w:tc>
          <w:tcPr>
            <w:vAlign w:val="top"/>
          </w:tcPr>
          <w:p w:rsidR="00000000" w:rsidDel="00000000" w:rsidP="00000000" w:rsidRDefault="00000000" w:rsidRPr="00000000" w14:paraId="00000055">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057">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w:t>
            </w:r>
          </w:p>
        </w:tc>
      </w:tr>
      <w:tr>
        <w:trPr>
          <w:cantSplit w:val="0"/>
          <w:tblHeader w:val="0"/>
        </w:trPr>
        <w:tc>
          <w:tcPr>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4775" cy="142875"/>
                  <wp:effectExtent b="0" l="0" r="0" t="0"/>
                  <wp:docPr descr="xbar.gif - 0.8 K" id="3" name="image3.png"/>
                  <a:graphic>
                    <a:graphicData uri="http://schemas.openxmlformats.org/drawingml/2006/picture">
                      <pic:pic>
                        <pic:nvPicPr>
                          <pic:cNvPr descr="xbar.gif - 0.8 K" id="0" name="image3.png"/>
                          <pic:cNvPicPr preferRelativeResize="0"/>
                        </pic:nvPicPr>
                        <pic:blipFill>
                          <a:blip r:embed="rId8"/>
                          <a:srcRect b="0" l="0" r="0" t="0"/>
                          <a:stretch>
                            <a:fillRect/>
                          </a:stretch>
                        </pic:blipFill>
                        <pic:spPr>
                          <a:xfrm>
                            <a:off x="0" y="0"/>
                            <a:ext cx="1047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w:t>
            </w:r>
          </w:p>
        </w:tc>
        <w:tc>
          <w:tcPr>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2"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36.8</w:t>
            </w:r>
          </w:p>
        </w:tc>
      </w:tr>
      <w:tr>
        <w:trPr>
          <w:cantSplit w:val="0"/>
          <w:tblHeader w:val="0"/>
        </w:trPr>
        <w:tc>
          <w:tcPr>
            <w:vAlign w:val="top"/>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4.09</w:t>
            </w:r>
          </w:p>
        </w:tc>
        <w:tc>
          <w:tcPr>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4.09</w:t>
            </w:r>
          </w:p>
        </w:tc>
      </w:tr>
    </w:tbl>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Calculated by Author</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transformed mean,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5"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equal to the original mean,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4775" cy="142875"/>
            <wp:effectExtent b="0" l="0" r="0" t="0"/>
            <wp:docPr descr="xbar.gif - 0.8 K" id="4" name="image3.png"/>
            <a:graphic>
              <a:graphicData uri="http://schemas.openxmlformats.org/drawingml/2006/picture">
                <pic:pic>
                  <pic:nvPicPr>
                    <pic:cNvPr descr="xbar.gif - 0.8 K" id="0" name="image3.png"/>
                    <pic:cNvPicPr preferRelativeResize="0"/>
                  </pic:nvPicPr>
                  <pic:blipFill>
                    <a:blip r:embed="rId8"/>
                    <a:srcRect b="0" l="0" r="0" t="0"/>
                    <a:stretch>
                      <a:fillRect/>
                    </a:stretch>
                  </pic:blipFill>
                  <pic:spPr>
                    <a:xfrm>
                      <a:off x="0" y="0"/>
                      <a:ext cx="1047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plus the transformation constant, in this case a=20. The standard deviation does not change. It is as if the distribution was lifted up and placed back down to the right or left, depending upon whether the additive component was positive or negative. The effect of the additive component is graphically presented below.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519930" cy="1168400"/>
            <wp:effectExtent b="0" l="0" r="0" t="0"/>
            <wp:docPr descr="ltrans11.gif - 2.6 K" id="7" name="image1.png"/>
            <a:graphic>
              <a:graphicData uri="http://schemas.openxmlformats.org/drawingml/2006/picture">
                <pic:pic>
                  <pic:nvPicPr>
                    <pic:cNvPr descr="ltrans11.gif - 2.6 K" id="0" name="image1.png"/>
                    <pic:cNvPicPr preferRelativeResize="0"/>
                  </pic:nvPicPr>
                  <pic:blipFill>
                    <a:blip r:embed="rId10"/>
                    <a:srcRect b="0" l="0" r="0" t="0"/>
                    <a:stretch>
                      <a:fillRect/>
                    </a:stretch>
                  </pic:blipFill>
                  <pic:spPr>
                    <a:xfrm>
                      <a:off x="0" y="0"/>
                      <a:ext cx="4519930"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effect of the multiplicative component "b" may be examined separately if the additive component is set equal to zero. The transformation equation becomes X' = bX, which is the type of transformation done when the scale is changed, for example from feet to inches. In that case, the value of b would be equal to 12 because there are 12 inches to the foot. Similarly, transformations to and from the metric system, i.e. pounds to kilograms, and back again are multiplicative transformations.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example multiplicative transformation is presented below, where b=3: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Linear Transformation - a=0, b=3</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TABLE-3</w:t>
      </w:r>
    </w:p>
    <w:tbl>
      <w:tblPr>
        <w:tblStyle w:val="Table3"/>
        <w:tblW w:w="8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1"/>
        <w:gridCol w:w="1608"/>
        <w:gridCol w:w="1473"/>
        <w:gridCol w:w="4123"/>
        <w:tblGridChange w:id="0">
          <w:tblGrid>
            <w:gridCol w:w="1321"/>
            <w:gridCol w:w="1608"/>
            <w:gridCol w:w="1473"/>
            <w:gridCol w:w="4123"/>
          </w:tblGrid>
        </w:tblGridChange>
      </w:tblGrid>
      <w:tr>
        <w:trPr>
          <w:cantSplit w:val="0"/>
          <w:tblHeader w:val="0"/>
        </w:trPr>
        <w:tc>
          <w:tcPr>
            <w:vAlign w:val="top"/>
          </w:tcPr>
          <w:p w:rsidR="00000000" w:rsidDel="00000000" w:rsidP="00000000" w:rsidRDefault="00000000" w:rsidRPr="00000000" w14:paraId="00000068">
            <w:pPr>
              <w:jc w:val="both"/>
              <w:rP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vAlign w:val="top"/>
          </w:tcPr>
          <w:p w:rsidR="00000000" w:rsidDel="00000000" w:rsidP="00000000" w:rsidRDefault="00000000" w:rsidRPr="00000000" w14:paraId="0000006A">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a + bX</w:t>
            </w:r>
          </w:p>
        </w:tc>
      </w:tr>
      <w:tr>
        <w:trPr>
          <w:cantSplit w:val="0"/>
          <w:tblHeader w:val="0"/>
        </w:trPr>
        <w:tc>
          <w:tcPr>
            <w:vAlign w:val="top"/>
          </w:tcPr>
          <w:p w:rsidR="00000000" w:rsidDel="00000000" w:rsidP="00000000" w:rsidRDefault="00000000" w:rsidRPr="00000000" w14:paraId="0000006C">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6E">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w:t>
            </w:r>
          </w:p>
        </w:tc>
      </w:tr>
      <w:tr>
        <w:trPr>
          <w:cantSplit w:val="0"/>
          <w:tblHeader w:val="0"/>
        </w:trPr>
        <w:tc>
          <w:tcPr>
            <w:vAlign w:val="top"/>
          </w:tcPr>
          <w:p w:rsidR="00000000" w:rsidDel="00000000" w:rsidP="00000000" w:rsidRDefault="00000000" w:rsidRPr="00000000" w14:paraId="00000070">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72">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r>
      <w:tr>
        <w:trPr>
          <w:cantSplit w:val="0"/>
          <w:tblHeader w:val="0"/>
        </w:trPr>
        <w:tc>
          <w:tcPr>
            <w:vAlign w:val="top"/>
          </w:tcPr>
          <w:p w:rsidR="00000000" w:rsidDel="00000000" w:rsidP="00000000" w:rsidRDefault="00000000" w:rsidRPr="00000000" w14:paraId="00000074">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76">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r>
      <w:tr>
        <w:trPr>
          <w:cantSplit w:val="0"/>
          <w:tblHeader w:val="0"/>
        </w:trPr>
        <w:tc>
          <w:tcPr>
            <w:vAlign w:val="top"/>
          </w:tcPr>
          <w:p w:rsidR="00000000" w:rsidDel="00000000" w:rsidP="00000000" w:rsidRDefault="00000000" w:rsidRPr="00000000" w14:paraId="00000078">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07A">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r>
      <w:tr>
        <w:trPr>
          <w:cantSplit w:val="0"/>
          <w:tblHeader w:val="0"/>
        </w:trPr>
        <w:tc>
          <w:tcPr>
            <w:vAlign w:val="top"/>
          </w:tcPr>
          <w:p w:rsidR="00000000" w:rsidDel="00000000" w:rsidP="00000000" w:rsidRDefault="00000000" w:rsidRPr="00000000" w14:paraId="0000007C">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07E">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w:t>
            </w:r>
          </w:p>
        </w:tc>
      </w:tr>
      <w:tr>
        <w:trPr>
          <w:cantSplit w:val="0"/>
          <w:tblHeader w:val="0"/>
        </w:trPr>
        <w:tc>
          <w:tcPr>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4775" cy="142875"/>
                  <wp:effectExtent b="0" l="0" r="0" t="0"/>
                  <wp:docPr descr="xbar.gif - 0.8 K" id="6" name="image3.png"/>
                  <a:graphic>
                    <a:graphicData uri="http://schemas.openxmlformats.org/drawingml/2006/picture">
                      <pic:pic>
                        <pic:nvPicPr>
                          <pic:cNvPr descr="xbar.gif - 0.8 K" id="0" name="image3.png"/>
                          <pic:cNvPicPr preferRelativeResize="0"/>
                        </pic:nvPicPr>
                        <pic:blipFill>
                          <a:blip r:embed="rId8"/>
                          <a:srcRect b="0" l="0" r="0" t="0"/>
                          <a:stretch>
                            <a:fillRect/>
                          </a:stretch>
                        </pic:blipFill>
                        <pic:spPr>
                          <a:xfrm>
                            <a:off x="0" y="0"/>
                            <a:ext cx="1047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w:t>
            </w:r>
          </w:p>
        </w:tc>
        <w:tc>
          <w:tcPr>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9"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50.4</w:t>
            </w:r>
          </w:p>
        </w:tc>
      </w:tr>
      <w:tr>
        <w:trPr>
          <w:cantSplit w:val="0"/>
          <w:tblHeader w:val="0"/>
        </w:trPr>
        <w:tc>
          <w:tcPr>
            <w:vAlign w:val="top"/>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4.09</w:t>
            </w:r>
          </w:p>
        </w:tc>
        <w:tc>
          <w:tcPr>
            <w:vAlign w:val="top"/>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12.26</w:t>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Calculated by Author</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that both the mean and the standard deviation of the transformed scores are three times their original value, which is precisely the amount of the multiplicative component. The multiplicative component, then, effects both the mean and standard deviation by its size, as illustrated below: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443095" cy="1105535"/>
            <wp:effectExtent b="0" l="0" r="0" t="0"/>
            <wp:docPr descr="ltrans12.gif - 2.7 K" id="8" name="image2.png"/>
            <a:graphic>
              <a:graphicData uri="http://schemas.openxmlformats.org/drawingml/2006/picture">
                <pic:pic>
                  <pic:nvPicPr>
                    <pic:cNvPr descr="ltrans12.gif - 2.7 K" id="0" name="image2.png"/>
                    <pic:cNvPicPr preferRelativeResize="0"/>
                  </pic:nvPicPr>
                  <pic:blipFill>
                    <a:blip r:embed="rId11"/>
                    <a:srcRect b="0" l="0" r="0" t="0"/>
                    <a:stretch>
                      <a:fillRect/>
                    </a:stretch>
                  </pic:blipFill>
                  <pic:spPr>
                    <a:xfrm>
                      <a:off x="0" y="0"/>
                      <a:ext cx="4443095" cy="110553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Style w:val="Heading3"/>
        <w:spacing w:after="280" w:before="280" w:lineRule="auto"/>
        <w:jc w:val="both"/>
        <w:rPr>
          <w:sz w:val="24"/>
          <w:szCs w:val="24"/>
          <w:vertAlign w:val="baseline"/>
        </w:rPr>
      </w:pPr>
      <w:r w:rsidDel="00000000" w:rsidR="00000000" w:rsidRPr="00000000">
        <w:rPr>
          <w:b w:val="1"/>
          <w:bCs w:val="1"/>
          <w:sz w:val="24"/>
          <w:szCs w:val="24"/>
          <w:vertAlign w:val="baseline"/>
          <w:rtl w:val="0"/>
        </w:rPr>
        <w:t xml:space="preserve">STANDARD SCORES OR Z-SCORES</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Another possible transformation is so important and widely used that it deserves an entire section to itself. It is the standard score or z-score transformation. The standard score transformation is a linear transformation such that the transformed mean and standard deviation are 0 and 1 respectively. The selection of these values was somewhat arbitrary, but not without some reason.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Transformation to z-scores could be accomplished using the procedure described in the earlier section to convert any distribution to a distribution with a given mean and standard deviation, in this case 0 and 1. This is demonstrated below with the example data.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267075" cy="762000"/>
            <wp:effectExtent b="0" l="0" r="0" t="0"/>
            <wp:docPr descr="ltrans7.gif - 1.6 K" id="12" name="image8.png"/>
            <a:graphic>
              <a:graphicData uri="http://schemas.openxmlformats.org/drawingml/2006/picture">
                <pic:pic>
                  <pic:nvPicPr>
                    <pic:cNvPr descr="ltrans7.gif - 1.6 K" id="0" name="image8.png"/>
                    <pic:cNvPicPr preferRelativeResize="0"/>
                  </pic:nvPicPr>
                  <pic:blipFill>
                    <a:blip r:embed="rId12"/>
                    <a:srcRect b="0" l="0" r="0" t="0"/>
                    <a:stretch>
                      <a:fillRect/>
                    </a:stretch>
                  </pic:blipFill>
                  <pic:spPr>
                    <a:xfrm>
                      <a:off x="0" y="0"/>
                      <a:ext cx="3267075"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Linear Transformation - a=-4.11, b=0.244</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pPr>
      <w:r w:rsidDel="00000000" w:rsidR="00000000" w:rsidRPr="00000000">
        <w:rPr>
          <w:rtl w:val="0"/>
        </w:rPr>
        <w:t xml:space="preserve">TABLE-4</w:t>
      </w:r>
    </w:p>
    <w:tbl>
      <w:tblPr>
        <w:tblStyle w:val="Table4"/>
        <w:tblW w:w="8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5"/>
        <w:tblGridChange w:id="0">
          <w:tblGrid>
            <w:gridCol w:w="8525"/>
          </w:tblGrid>
        </w:tblGridChange>
      </w:tblGrid>
      <w:tr>
        <w:trPr>
          <w:cantSplit w:val="0"/>
          <w:tblHeader w:val="0"/>
        </w:trPr>
        <w:tc>
          <w:tcP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82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7"/>
              <w:gridCol w:w="1565"/>
              <w:gridCol w:w="1434"/>
              <w:gridCol w:w="4013"/>
              <w:tblGridChange w:id="0">
                <w:tblGrid>
                  <w:gridCol w:w="1287"/>
                  <w:gridCol w:w="1565"/>
                  <w:gridCol w:w="1434"/>
                  <w:gridCol w:w="4013"/>
                </w:tblGrid>
              </w:tblGridChange>
            </w:tblGrid>
            <w:tr>
              <w:trPr>
                <w:cantSplit w:val="0"/>
                <w:tblHeader w:val="0"/>
              </w:trPr>
              <w:tc>
                <w:tcPr>
                  <w:vAlign w:val="top"/>
                </w:tcPr>
                <w:p w:rsidR="00000000" w:rsidDel="00000000" w:rsidP="00000000" w:rsidRDefault="00000000" w:rsidRPr="00000000" w14:paraId="00000092">
                  <w:pPr>
                    <w:jc w:val="both"/>
                    <w:rPr>
                      <w:vertAlign w:val="baseline"/>
                    </w:rPr>
                  </w:pPr>
                  <w:r w:rsidDel="00000000" w:rsidR="00000000" w:rsidRPr="00000000">
                    <w:rPr>
                      <w:rtl w:val="0"/>
                    </w:rPr>
                  </w:r>
                </w:p>
              </w:tc>
              <w:tc>
                <w:tcPr>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vAlign w:val="top"/>
                </w:tcPr>
                <w:p w:rsidR="00000000" w:rsidDel="00000000" w:rsidP="00000000" w:rsidRDefault="00000000" w:rsidRPr="00000000" w14:paraId="00000094">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a + bX</w:t>
                  </w:r>
                </w:p>
              </w:tc>
            </w:tr>
            <w:tr>
              <w:trPr>
                <w:cantSplit w:val="0"/>
                <w:tblHeader w:val="0"/>
              </w:trPr>
              <w:tc>
                <w:tcPr>
                  <w:vAlign w:val="top"/>
                </w:tcPr>
                <w:p w:rsidR="00000000" w:rsidDel="00000000" w:rsidP="00000000" w:rsidRDefault="00000000" w:rsidRPr="00000000" w14:paraId="00000096">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98">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-1.18</w:t>
                  </w:r>
                </w:p>
              </w:tc>
            </w:tr>
            <w:tr>
              <w:trPr>
                <w:cantSplit w:val="0"/>
                <w:tblHeader w:val="0"/>
              </w:trPr>
              <w:tc>
                <w:tcPr>
                  <w:vAlign w:val="top"/>
                </w:tcPr>
                <w:p w:rsidR="00000000" w:rsidDel="00000000" w:rsidP="00000000" w:rsidRDefault="00000000" w:rsidRPr="00000000" w14:paraId="0000009A">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9C">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-0.45</w:t>
                  </w:r>
                </w:p>
              </w:tc>
            </w:tr>
            <w:tr>
              <w:trPr>
                <w:cantSplit w:val="0"/>
                <w:tblHeader w:val="0"/>
              </w:trPr>
              <w:tc>
                <w:tcPr>
                  <w:vAlign w:val="top"/>
                </w:tcPr>
                <w:p w:rsidR="00000000" w:rsidDel="00000000" w:rsidP="00000000" w:rsidRDefault="00000000" w:rsidRPr="00000000" w14:paraId="0000009E">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A0">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-0.45</w:t>
                  </w:r>
                </w:p>
              </w:tc>
            </w:tr>
            <w:tr>
              <w:trPr>
                <w:cantSplit w:val="0"/>
                <w:tblHeader w:val="0"/>
              </w:trPr>
              <w:tc>
                <w:tcPr>
                  <w:vAlign w:val="top"/>
                </w:tcPr>
                <w:p w:rsidR="00000000" w:rsidDel="00000000" w:rsidP="00000000" w:rsidRDefault="00000000" w:rsidRPr="00000000" w14:paraId="000000A2">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0A4">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0.77</w:t>
                  </w:r>
                </w:p>
              </w:tc>
            </w:tr>
            <w:tr>
              <w:trPr>
                <w:cantSplit w:val="0"/>
                <w:tblHeader w:val="0"/>
              </w:trPr>
              <w:tc>
                <w:tcPr>
                  <w:vAlign w:val="top"/>
                </w:tcPr>
                <w:p w:rsidR="00000000" w:rsidDel="00000000" w:rsidP="00000000" w:rsidRDefault="00000000" w:rsidRPr="00000000" w14:paraId="000000A6">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0A8">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1.26</w:t>
                  </w:r>
                </w:p>
              </w:tc>
            </w:tr>
            <w:tr>
              <w:trPr>
                <w:cantSplit w:val="0"/>
                <w:tblHeader w:val="0"/>
              </w:trPr>
              <w:tc>
                <w:tcPr>
                  <w:vAlign w:val="top"/>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4775" cy="142875"/>
                        <wp:effectExtent b="0" l="0" r="0" t="0"/>
                        <wp:docPr descr="xbar.gif - 0.8 K" id="10" name="image3.png"/>
                        <a:graphic>
                          <a:graphicData uri="http://schemas.openxmlformats.org/drawingml/2006/picture">
                            <pic:pic>
                              <pic:nvPicPr>
                                <pic:cNvPr descr="xbar.gif - 0.8 K" id="0" name="image3.png"/>
                                <pic:cNvPicPr preferRelativeResize="0"/>
                              </pic:nvPicPr>
                              <pic:blipFill>
                                <a:blip r:embed="rId8"/>
                                <a:srcRect b="0" l="0" r="0" t="0"/>
                                <a:stretch>
                                  <a:fillRect/>
                                </a:stretch>
                              </pic:blipFill>
                              <pic:spPr>
                                <a:xfrm>
                                  <a:off x="0" y="0"/>
                                  <a:ext cx="1047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w:t>
                  </w:r>
                </w:p>
              </w:tc>
              <w:tc>
                <w:tcPr>
                  <w:vAlign w:val="top"/>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11"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-0.01</w:t>
                  </w:r>
                </w:p>
              </w:tc>
            </w:tr>
            <w:tr>
              <w:trPr>
                <w:cantSplit w:val="0"/>
                <w:tblHeader w:val="0"/>
              </w:trPr>
              <w:tc>
                <w:tcPr>
                  <w:vAlign w:val="top"/>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4.09</w:t>
                  </w:r>
                </w:p>
              </w:tc>
              <w:tc>
                <w:tcPr>
                  <w:vAlign w:val="top"/>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0.997</w:t>
                  </w:r>
                </w:p>
              </w:tc>
            </w:tr>
          </w:tbl>
          <w:p w:rsidR="00000000" w:rsidDel="00000000" w:rsidP="00000000" w:rsidRDefault="00000000" w:rsidRPr="00000000" w14:paraId="000000B2">
            <w:pPr>
              <w:rPr>
                <w:vertAlign w:val="baseline"/>
              </w:rPr>
            </w:pPr>
            <w:r w:rsidDel="00000000" w:rsidR="00000000" w:rsidRPr="00000000">
              <w:rPr>
                <w:rtl w:val="0"/>
              </w:rPr>
            </w:r>
          </w:p>
        </w:tc>
      </w:tr>
    </w:tb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Calculated by Author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that the transformed mean and standard deviation are within rounding error of the desired figures.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a little algebra, the computational formulas to convert raw scores to z-scores may be simplified. When converting to standard scores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13"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and 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the value of a can be found by the following:</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619375" cy="990600"/>
            <wp:effectExtent b="0" l="0" r="0" t="0"/>
            <wp:docPr descr="ltrans8.gif - 1.5 K" id="14" name="image6.png"/>
            <a:graphic>
              <a:graphicData uri="http://schemas.openxmlformats.org/drawingml/2006/picture">
                <pic:pic>
                  <pic:nvPicPr>
                    <pic:cNvPr descr="ltrans8.gif - 1.5 K" id="0" name="image6.png"/>
                    <pic:cNvPicPr preferRelativeResize="0"/>
                  </pic:nvPicPr>
                  <pic:blipFill>
                    <a:blip r:embed="rId13"/>
                    <a:srcRect b="0" l="0" r="0" t="0"/>
                    <a:stretch>
                      <a:fillRect/>
                    </a:stretch>
                  </pic:blipFill>
                  <pic:spPr>
                    <a:xfrm>
                      <a:off x="0" y="0"/>
                      <a:ext cx="2619375"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value for b can then be found by substituting these values into the linear transformation equation:</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90775" cy="2038350"/>
            <wp:effectExtent b="0" l="0" r="0" t="0"/>
            <wp:docPr descr="ltrans9.gif - 1.8 K" id="15" name="image5.png"/>
            <a:graphic>
              <a:graphicData uri="http://schemas.openxmlformats.org/drawingml/2006/picture">
                <pic:pic>
                  <pic:nvPicPr>
                    <pic:cNvPr descr="ltrans9.gif - 1.8 K" id="0" name="image5.png"/>
                    <pic:cNvPicPr preferRelativeResize="0"/>
                  </pic:nvPicPr>
                  <pic:blipFill>
                    <a:blip r:embed="rId14"/>
                    <a:srcRect b="0" l="0" r="0" t="0"/>
                    <a:stretch>
                      <a:fillRect/>
                    </a:stretch>
                  </pic:blipFill>
                  <pic:spPr>
                    <a:xfrm>
                      <a:off x="0" y="0"/>
                      <a:ext cx="2390775"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last result is a computationally simpler version of the standard score transformation. All this algebra was done to demonstrate that the standard score or z-score transformation was indeed a type of linear transformation. If a student is unable to follow the mathematics underlying the algebraic transformation, he or she will just have to "Believe!" In any case, the formula for converting to z-scores is: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200150" cy="619125"/>
            <wp:effectExtent b="0" l="0" r="0" t="0"/>
            <wp:docPr descr="ltrans10.gif - 1.1 K" id="16" name="image9.png"/>
            <a:graphic>
              <a:graphicData uri="http://schemas.openxmlformats.org/drawingml/2006/picture">
                <pic:pic>
                  <pic:nvPicPr>
                    <pic:cNvPr descr="ltrans10.gif - 1.1 K" id="0" name="image9.png"/>
                    <pic:cNvPicPr preferRelativeResize="0"/>
                  </pic:nvPicPr>
                  <pic:blipFill>
                    <a:blip r:embed="rId15"/>
                    <a:srcRect b="0" l="0" r="0" t="0"/>
                    <a:stretch>
                      <a:fillRect/>
                    </a:stretch>
                  </pic:blipFill>
                  <pic:spPr>
                    <a:xfrm>
                      <a:off x="0" y="0"/>
                      <a:ext cx="1200150" cy="619125"/>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that the "z" has replaced the "X'")</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Application of this computational formula to the example data yields: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Z-score Transformation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TABLE-5</w:t>
      </w:r>
    </w:p>
    <w:tbl>
      <w:tblPr>
        <w:tblStyle w:val="Table6"/>
        <w:tblW w:w="85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5"/>
        <w:tblGridChange w:id="0">
          <w:tblGrid>
            <w:gridCol w:w="8525"/>
          </w:tblGrid>
        </w:tblGridChange>
      </w:tblGrid>
      <w:tr>
        <w:trPr>
          <w:cantSplit w:val="0"/>
          <w:tblHeader w:val="0"/>
        </w:trPr>
        <w:tc>
          <w:tcP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82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1"/>
              <w:gridCol w:w="2120"/>
              <w:gridCol w:w="1940"/>
              <w:gridCol w:w="2498"/>
              <w:tblGridChange w:id="0">
                <w:tblGrid>
                  <w:gridCol w:w="1741"/>
                  <w:gridCol w:w="2120"/>
                  <w:gridCol w:w="1940"/>
                  <w:gridCol w:w="2498"/>
                </w:tblGrid>
              </w:tblGridChange>
            </w:tblGrid>
            <w:tr>
              <w:trPr>
                <w:cantSplit w:val="0"/>
                <w:tblHeader w:val="0"/>
              </w:trPr>
              <w:tc>
                <w:tcPr>
                  <w:vAlign w:val="top"/>
                </w:tcPr>
                <w:p w:rsidR="00000000" w:rsidDel="00000000" w:rsidP="00000000" w:rsidRDefault="00000000" w:rsidRPr="00000000" w14:paraId="000000C0">
                  <w:pPr>
                    <w:jc w:val="both"/>
                    <w:rPr>
                      <w:vertAlign w:val="baseline"/>
                    </w:rPr>
                  </w:pPr>
                  <w:r w:rsidDel="00000000" w:rsidR="00000000" w:rsidRPr="00000000">
                    <w:rPr>
                      <w:rtl w:val="0"/>
                    </w:rPr>
                  </w:r>
                </w:p>
              </w:tc>
              <w:tc>
                <w:tcPr>
                  <w:vAlign w:val="top"/>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w:t>
                  </w:r>
                </w:p>
              </w:tc>
              <w:tc>
                <w:tcPr>
                  <w:vAlign w:val="top"/>
                </w:tcPr>
                <w:p w:rsidR="00000000" w:rsidDel="00000000" w:rsidP="00000000" w:rsidRDefault="00000000" w:rsidRPr="00000000" w14:paraId="000000C2">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w:t>
                  </w:r>
                </w:p>
              </w:tc>
            </w:tr>
            <w:tr>
              <w:trPr>
                <w:cantSplit w:val="0"/>
                <w:tblHeader w:val="0"/>
              </w:trPr>
              <w:tc>
                <w:tcPr>
                  <w:vAlign w:val="top"/>
                </w:tcPr>
                <w:p w:rsidR="00000000" w:rsidDel="00000000" w:rsidP="00000000" w:rsidRDefault="00000000" w:rsidRPr="00000000" w14:paraId="000000C4">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C6">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w:t>
                  </w:r>
                </w:p>
              </w:tc>
            </w:tr>
            <w:tr>
              <w:trPr>
                <w:cantSplit w:val="0"/>
                <w:tblHeader w:val="0"/>
              </w:trPr>
              <w:tc>
                <w:tcPr>
                  <w:vAlign w:val="top"/>
                </w:tcPr>
                <w:p w:rsidR="00000000" w:rsidDel="00000000" w:rsidP="00000000" w:rsidRDefault="00000000" w:rsidRPr="00000000" w14:paraId="000000C8">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CA">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-0.44</w:t>
                  </w:r>
                </w:p>
              </w:tc>
            </w:tr>
            <w:tr>
              <w:trPr>
                <w:cantSplit w:val="0"/>
                <w:tblHeader w:val="0"/>
              </w:trPr>
              <w:tc>
                <w:tcPr>
                  <w:vAlign w:val="top"/>
                </w:tcPr>
                <w:p w:rsidR="00000000" w:rsidDel="00000000" w:rsidP="00000000" w:rsidRDefault="00000000" w:rsidRPr="00000000" w14:paraId="000000CC">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0CE">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-0.44</w:t>
                  </w:r>
                </w:p>
              </w:tc>
            </w:tr>
            <w:tr>
              <w:trPr>
                <w:cantSplit w:val="0"/>
                <w:tblHeader w:val="0"/>
              </w:trPr>
              <w:tc>
                <w:tcPr>
                  <w:vAlign w:val="top"/>
                </w:tcPr>
                <w:p w:rsidR="00000000" w:rsidDel="00000000" w:rsidP="00000000" w:rsidRDefault="00000000" w:rsidRPr="00000000" w14:paraId="000000D0">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vAlign w:val="top"/>
                </w:tcPr>
                <w:p w:rsidR="00000000" w:rsidDel="00000000" w:rsidP="00000000" w:rsidRDefault="00000000" w:rsidRPr="00000000" w14:paraId="000000D2">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0.78</w:t>
                  </w:r>
                </w:p>
              </w:tc>
            </w:tr>
            <w:tr>
              <w:trPr>
                <w:cantSplit w:val="0"/>
                <w:tblHeader w:val="0"/>
              </w:trPr>
              <w:tc>
                <w:tcPr>
                  <w:vAlign w:val="top"/>
                </w:tcPr>
                <w:p w:rsidR="00000000" w:rsidDel="00000000" w:rsidP="00000000" w:rsidRDefault="00000000" w:rsidRPr="00000000" w14:paraId="000000D4">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0D6">
                  <w:pPr>
                    <w:jc w:val="both"/>
                    <w:rPr>
                      <w:vertAlign w:val="baseline"/>
                    </w:rPr>
                  </w:pPr>
                  <w:r w:rsidDel="00000000" w:rsidR="00000000" w:rsidRPr="00000000">
                    <w:rPr>
                      <w:vertAlign w:val="baseline"/>
                      <w:rtl w:val="0"/>
                    </w:rPr>
                    <w:t xml:space="preserve"> </w:t>
                  </w:r>
                </w:p>
              </w:tc>
              <w:tc>
                <w:tcPr>
                  <w:vAlign w:val="top"/>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1.27</w:t>
                  </w:r>
                </w:p>
              </w:tc>
            </w:tr>
            <w:tr>
              <w:trPr>
                <w:cantSplit w:val="0"/>
                <w:tblHeader w:val="0"/>
              </w:trPr>
              <w:tc>
                <w:tcPr>
                  <w:vAlign w:val="top"/>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4775" cy="142875"/>
                        <wp:effectExtent b="0" l="0" r="0" t="0"/>
                        <wp:docPr descr="xbar.gif - 0.8 K" id="17" name="image3.png"/>
                        <a:graphic>
                          <a:graphicData uri="http://schemas.openxmlformats.org/drawingml/2006/picture">
                            <pic:pic>
                              <pic:nvPicPr>
                                <pic:cNvPr descr="xbar.gif - 0.8 K" id="0" name="image3.png"/>
                                <pic:cNvPicPr preferRelativeResize="0"/>
                              </pic:nvPicPr>
                              <pic:blipFill>
                                <a:blip r:embed="rId8"/>
                                <a:srcRect b="0" l="0" r="0" t="0"/>
                                <a:stretch>
                                  <a:fillRect/>
                                </a:stretch>
                              </pic:blipFill>
                              <pic:spPr>
                                <a:xfrm>
                                  <a:off x="0" y="0"/>
                                  <a:ext cx="1047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16.8</w:t>
                  </w:r>
                </w:p>
              </w:tc>
              <w:tc>
                <w:tcPr>
                  <w:vAlign w:val="top"/>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42875" cy="142875"/>
                        <wp:effectExtent b="0" l="0" r="0" t="0"/>
                        <wp:docPr descr="xbarp.gif - 0.8 K" id="18" name="image4.png"/>
                        <a:graphic>
                          <a:graphicData uri="http://schemas.openxmlformats.org/drawingml/2006/picture">
                            <pic:pic>
                              <pic:nvPicPr>
                                <pic:cNvPr descr="xbarp.gif - 0.8 K" id="0" name="image4.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w:t>
                  </w:r>
                </w:p>
              </w:tc>
            </w:tr>
            <w:tr>
              <w:trPr>
                <w:cantSplit w:val="0"/>
                <w:tblHeader w:val="0"/>
              </w:trPr>
              <w:tc>
                <w:tcPr>
                  <w:vAlign w:val="top"/>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4.09</w:t>
                  </w:r>
                </w:p>
              </w:tc>
              <w:tc>
                <w:tcPr>
                  <w:vAlign w:val="top"/>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.997</w:t>
                  </w:r>
                </w:p>
              </w:tc>
            </w:tr>
          </w:tbl>
          <w:p w:rsidR="00000000" w:rsidDel="00000000" w:rsidP="00000000" w:rsidRDefault="00000000" w:rsidRPr="00000000" w14:paraId="000000E0">
            <w:pPr>
              <w:rPr>
                <w:vertAlign w:val="baseline"/>
              </w:rPr>
            </w:pPr>
            <w:r w:rsidDel="00000000" w:rsidR="00000000" w:rsidRPr="00000000">
              <w:rPr>
                <w:rtl w:val="0"/>
              </w:rPr>
            </w:r>
          </w:p>
        </w:tc>
      </w:tr>
    </w:tbl>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Source: Calculated by Author</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that the two procedures produce almost identical results, except that the computational formula is slightly more accurate. Because of the increased accuracy and ease of computation, it is the method of choice in this case. </w:t>
      </w:r>
    </w:p>
    <w:p w:rsidR="00000000" w:rsidDel="00000000" w:rsidP="00000000" w:rsidRDefault="00000000" w:rsidRPr="00000000" w14:paraId="000000E3">
      <w:pPr>
        <w:pStyle w:val="Heading3"/>
        <w:spacing w:after="280" w:before="280" w:lineRule="auto"/>
        <w:jc w:val="both"/>
        <w:rPr>
          <w:sz w:val="24"/>
          <w:szCs w:val="24"/>
          <w:vertAlign w:val="baseline"/>
        </w:rPr>
      </w:pPr>
      <w:r w:rsidDel="00000000" w:rsidR="00000000" w:rsidRPr="00000000">
        <w:rPr>
          <w:b w:val="1"/>
          <w:bCs w:val="1"/>
          <w:sz w:val="24"/>
          <w:szCs w:val="24"/>
          <w:vertAlign w:val="baseline"/>
          <w:rtl w:val="0"/>
        </w:rPr>
        <w:t xml:space="preserve">Conclusion And Summary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paper concludes that transformations are performed to interpret and compare raw scores. Of the two types of transformations described in this text, percentile ranks are preferred to interpret scores to the lay public, because they are more easily understood. Because of the unfortunate property of destroying the interval property of the scale, the statistician uses percentile rank transformations with reluctance. Linear transformations are preferred because the interval property of the measurement system is not disturbed.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a linear transformation, a distribution with a given mean and standard deviation may be transformed into another distribution with a different mean and standard deviation. Several standards for the mean and standard deviation were discussed, but standard scores or z-scores are generally the preferred transformation. The z-score transformation is a linear transformation with a transformed mean of 0 and standard deviation of 1.0. Computational procedures were provided for this transformation</w:t>
      </w:r>
      <w:r w:rsidDel="00000000" w:rsidR="00000000" w:rsidRPr="00000000">
        <w:rPr>
          <w:rtl w:val="0"/>
        </w:rPr>
        <w:t xml:space="preserve">.</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eferences:</w:t>
      </w:r>
      <w:r w:rsidDel="00000000" w:rsidR="00000000" w:rsidRPr="00000000">
        <w:rPr>
          <w:rtl w:val="0"/>
        </w:rPr>
      </w:r>
    </w:p>
    <w:p w:rsidR="00000000" w:rsidDel="00000000" w:rsidP="00000000" w:rsidRDefault="00000000" w:rsidRPr="00000000" w14:paraId="000000E7">
      <w:pPr>
        <w:numPr>
          <w:ilvl w:val="0"/>
          <w:numId w:val="1"/>
        </w:numPr>
        <w:ind w:left="720" w:hanging="360"/>
        <w:jc w:val="both"/>
        <w:rPr/>
      </w:pPr>
      <w:r w:rsidDel="00000000" w:rsidR="00000000" w:rsidRPr="00000000">
        <w:rPr>
          <w:vertAlign w:val="baseline"/>
          <w:rtl w:val="0"/>
        </w:rPr>
        <w:t xml:space="preserve">Anselin, Luc (1988). </w:t>
      </w:r>
      <w:r w:rsidDel="00000000" w:rsidR="00000000" w:rsidRPr="00000000">
        <w:rPr>
          <w:i w:val="1"/>
          <w:iCs w:val="1"/>
          <w:vertAlign w:val="baseline"/>
          <w:rtl w:val="0"/>
        </w:rPr>
        <w:t xml:space="preserve">Spatial Econometrics: Methods and Models</w:t>
      </w:r>
      <w:r w:rsidDel="00000000" w:rsidR="00000000" w:rsidRPr="00000000">
        <w:rPr>
          <w:vertAlign w:val="baseline"/>
          <w:rtl w:val="0"/>
        </w:rPr>
        <w:t xml:space="preserve">. Dorddrecht: Kluwer Academic Publishers.</w:t>
      </w:r>
      <w:r w:rsidDel="00000000" w:rsidR="00000000" w:rsidRPr="00000000">
        <w:rPr>
          <w:rtl w:val="0"/>
        </w:rPr>
      </w:r>
    </w:p>
    <w:p w:rsidR="00000000" w:rsidDel="00000000" w:rsidP="00000000" w:rsidRDefault="00000000" w:rsidRPr="00000000" w14:paraId="000000E8">
      <w:pPr>
        <w:numPr>
          <w:ilvl w:val="0"/>
          <w:numId w:val="1"/>
        </w:numPr>
        <w:ind w:left="720" w:hanging="360"/>
        <w:jc w:val="both"/>
        <w:rPr/>
      </w:pPr>
      <w:r w:rsidDel="00000000" w:rsidR="00000000" w:rsidRPr="00000000">
        <w:rPr>
          <w:vertAlign w:val="baseline"/>
          <w:rtl w:val="0"/>
        </w:rPr>
        <w:t xml:space="preserve">Barry, Ronald, and R. Kelley Pace. (1999). “A Monte Carlo Estimator of the Log Determinant of Large Sparse Matrices.” </w:t>
      </w:r>
      <w:r w:rsidDel="00000000" w:rsidR="00000000" w:rsidRPr="00000000">
        <w:rPr>
          <w:i w:val="1"/>
          <w:iCs w:val="1"/>
          <w:vertAlign w:val="baseline"/>
          <w:rtl w:val="0"/>
        </w:rPr>
        <w:t xml:space="preserve">Linear Algebra and its Applications</w:t>
      </w:r>
      <w:r w:rsidDel="00000000" w:rsidR="00000000" w:rsidRPr="00000000">
        <w:rPr>
          <w:vertAlign w:val="baseline"/>
          <w:rtl w:val="0"/>
        </w:rPr>
        <w:t xml:space="preserve">, 289, 41–54.</w:t>
      </w:r>
      <w:r w:rsidDel="00000000" w:rsidR="00000000" w:rsidRPr="00000000">
        <w:rPr>
          <w:rtl w:val="0"/>
        </w:rPr>
      </w:r>
    </w:p>
    <w:p w:rsidR="00000000" w:rsidDel="00000000" w:rsidP="00000000" w:rsidRDefault="00000000" w:rsidRPr="00000000" w14:paraId="000000E9">
      <w:pPr>
        <w:numPr>
          <w:ilvl w:val="0"/>
          <w:numId w:val="1"/>
        </w:numPr>
        <w:ind w:left="720" w:hanging="360"/>
        <w:jc w:val="both"/>
        <w:rPr/>
      </w:pPr>
      <w:r w:rsidDel="00000000" w:rsidR="00000000" w:rsidRPr="00000000">
        <w:rPr>
          <w:vertAlign w:val="baseline"/>
          <w:rtl w:val="0"/>
        </w:rPr>
        <w:t xml:space="preserve">Bavaud, Francois (1998). “Models for Spatial Weights: A Systematic Look.” </w:t>
      </w:r>
      <w:r w:rsidDel="00000000" w:rsidR="00000000" w:rsidRPr="00000000">
        <w:rPr>
          <w:i w:val="1"/>
          <w:iCs w:val="1"/>
          <w:vertAlign w:val="baseline"/>
          <w:rtl w:val="0"/>
        </w:rPr>
        <w:t xml:space="preserve">Geographical Analysis</w:t>
      </w:r>
      <w:r w:rsidDel="00000000" w:rsidR="00000000" w:rsidRPr="00000000">
        <w:rPr>
          <w:vertAlign w:val="baseline"/>
          <w:rtl w:val="0"/>
        </w:rPr>
        <w:t xml:space="preserve">, 50, 155–71.</w:t>
      </w:r>
      <w:r w:rsidDel="00000000" w:rsidR="00000000" w:rsidRPr="00000000">
        <w:rPr>
          <w:rtl w:val="0"/>
        </w:rPr>
      </w:r>
    </w:p>
    <w:p w:rsidR="00000000" w:rsidDel="00000000" w:rsidP="00000000" w:rsidRDefault="00000000" w:rsidRPr="00000000" w14:paraId="000000EA">
      <w:pPr>
        <w:numPr>
          <w:ilvl w:val="0"/>
          <w:numId w:val="1"/>
        </w:numPr>
        <w:ind w:left="720" w:hanging="360"/>
        <w:jc w:val="both"/>
        <w:rPr/>
      </w:pPr>
      <w:r w:rsidDel="00000000" w:rsidR="00000000" w:rsidRPr="00000000">
        <w:rPr>
          <w:vertAlign w:val="baseline"/>
          <w:rtl w:val="0"/>
        </w:rPr>
        <w:t xml:space="preserve">Besag, Julian (1975). “Statistical Analysis of Non-lattice Data,” </w:t>
      </w:r>
      <w:r w:rsidDel="00000000" w:rsidR="00000000" w:rsidRPr="00000000">
        <w:rPr>
          <w:i w:val="1"/>
          <w:iCs w:val="1"/>
          <w:vertAlign w:val="baseline"/>
          <w:rtl w:val="0"/>
        </w:rPr>
        <w:t xml:space="preserve">The Statistician</w:t>
      </w:r>
      <w:r w:rsidDel="00000000" w:rsidR="00000000" w:rsidRPr="00000000">
        <w:rPr>
          <w:vertAlign w:val="baseline"/>
          <w:rtl w:val="0"/>
        </w:rPr>
        <w:t xml:space="preserve">, 24, 179–95.</w:t>
      </w:r>
      <w:r w:rsidDel="00000000" w:rsidR="00000000" w:rsidRPr="00000000">
        <w:rPr>
          <w:rtl w:val="0"/>
        </w:rPr>
      </w:r>
    </w:p>
    <w:sectPr>
      <w:headerReference r:id="rId16" w:type="default"/>
      <w:headerReference r:id="rId17" w:type="first"/>
      <w:footerReference r:id="rId18" w:type="default"/>
      <w:footerReference r:id="rId19" w:type="first"/>
      <w:pgSz w:h="16834" w:w="11909" w:orient="portrait"/>
      <w:pgMar w:bottom="1440" w:top="1440" w:left="1440" w:right="1440" w:header="431.9999999999999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pBdr>
        <w:top w:color="000000" w:space="2" w:sz="12" w:val="single"/>
        <w:left w:color="000000" w:space="2" w:sz="12" w:val="single"/>
        <w:bottom w:color="000000" w:space="2" w:sz="12" w:val="single"/>
        <w:right w:color="000000" w:space="2" w:sz="12" w:val="single"/>
      </w:pBdr>
      <w:shd w:fill="auto" w:val="clear"/>
      <w:tabs>
        <w:tab w:val="center" w:leader="none" w:pos="4680"/>
        <w:tab w:val="right" w:leader="none" w:pos="9360"/>
        <w:tab w:val="center" w:leader="none" w:pos="4154"/>
      </w:tabs>
      <w:jc w:val="left"/>
      <w:rPr>
        <w:b w:val="1"/>
        <w:bCs w:val="1"/>
        <w:color w:val="1c4587"/>
        <w:sz w:val="18"/>
        <w:szCs w:val="18"/>
      </w:rPr>
    </w:pPr>
    <w:r w:rsidDel="00000000" w:rsidR="00000000" w:rsidRPr="00000000">
      <w:rPr>
        <w:b w:val="1"/>
        <w:bCs w:val="1"/>
        <w:color w:val="1c4587"/>
        <w:sz w:val="18"/>
        <w:szCs w:val="18"/>
        <w:rtl w:val="0"/>
      </w:rPr>
      <w:t xml:space="preserve">Paper ID     | International Journal For Multidisciplinary Development And Research (</w:t>
    </w:r>
    <w:hyperlink r:id="rId1">
      <w:r w:rsidDel="00000000" w:rsidR="00000000" w:rsidRPr="00000000">
        <w:rPr>
          <w:b w:val="1"/>
          <w:bCs w:val="1"/>
          <w:color w:val="1c4587"/>
          <w:sz w:val="18"/>
          <w:szCs w:val="18"/>
          <w:u w:val="single"/>
          <w:rtl w:val="0"/>
        </w:rPr>
        <w:t xml:space="preserve">www.ijmdr.co.in</w:t>
      </w:r>
    </w:hyperlink>
    <w:r w:rsidDel="00000000" w:rsidR="00000000" w:rsidRPr="00000000">
      <w:rPr>
        <w:b w:val="1"/>
        <w:bCs w:val="1"/>
        <w:color w:val="1c4587"/>
        <w:sz w:val="18"/>
        <w:szCs w:val="18"/>
        <w:rtl w:val="0"/>
      </w:rPr>
      <w:t xml:space="preserve">) |      </w:t>
    </w:r>
    <w:r w:rsidDel="00000000" w:rsidR="00000000" w:rsidRPr="00000000">
      <w:rPr>
        <w:b w:val="1"/>
        <w:bCs w:val="1"/>
        <w:color w:val="1c4587"/>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pBdr>
        <w:top w:color="000000" w:space="2" w:sz="0" w:val="none"/>
        <w:left w:color="000000" w:space="2" w:sz="0" w:val="none"/>
        <w:bottom w:color="000000" w:space="2" w:sz="0" w:val="none"/>
        <w:right w:color="000000" w:space="2" w:sz="0" w:val="none"/>
      </w:pBdr>
      <w:shd w:fill="d9d9d9" w:val="clear"/>
      <w:tabs>
        <w:tab w:val="center" w:leader="none" w:pos="4680"/>
        <w:tab w:val="right" w:leader="none" w:pos="9360"/>
        <w:tab w:val="center" w:leader="none" w:pos="4154"/>
      </w:tabs>
      <w:rPr>
        <w:sz w:val="18"/>
        <w:szCs w:val="18"/>
      </w:rPr>
    </w:pPr>
    <w:r w:rsidDel="00000000" w:rsidR="00000000" w:rsidRPr="00000000">
      <w:rPr>
        <w:i w:val="1"/>
        <w:iCs w:val="1"/>
        <w:sz w:val="18"/>
        <w:szCs w:val="18"/>
        <w:rtl w:val="0"/>
      </w:rPr>
      <w:t xml:space="preserve">Paper ID            </w:t>
      <w:tab/>
      <w:t xml:space="preserve">International Journal For Multidisciplinary Development And Research (</w:t>
    </w:r>
    <w:hyperlink r:id="rId1">
      <w:r w:rsidDel="00000000" w:rsidR="00000000" w:rsidRPr="00000000">
        <w:rPr>
          <w:i w:val="1"/>
          <w:iCs w:val="1"/>
          <w:color w:val="0000ff"/>
          <w:sz w:val="18"/>
          <w:szCs w:val="18"/>
          <w:u w:val="single"/>
          <w:rtl w:val="0"/>
        </w:rPr>
        <w:t xml:space="preserve">www.ijmdr.co.in</w:t>
      </w:r>
    </w:hyperlink>
    <w:r w:rsidDel="00000000" w:rsidR="00000000" w:rsidRPr="00000000">
      <w:rPr>
        <w:i w:val="1"/>
        <w:iCs w:val="1"/>
        <w:sz w:val="18"/>
        <w:szCs w:val="18"/>
        <w:rtl w:val="0"/>
      </w:rPr>
      <w:t xml:space="preserve">)         1</w: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pBdr>
        <w:top w:color="000000" w:space="0" w:sz="12" w:val="single"/>
        <w:left w:color="000000" w:space="0" w:sz="12" w:val="single"/>
        <w:bottom w:color="000000" w:space="0" w:sz="12" w:val="single"/>
        <w:right w:color="000000" w:space="0" w:sz="12" w:val="single"/>
      </w:pBdr>
      <w:rPr>
        <w:b w:val="1"/>
        <w:bCs w:val="1"/>
        <w:color w:val="0000ff"/>
      </w:rPr>
    </w:pPr>
    <w:r w:rsidDel="00000000" w:rsidR="00000000" w:rsidRPr="00000000">
      <w:rPr>
        <w:rtl w:val="0"/>
      </w:rPr>
      <w:t xml:space="preserve">                                        </w:t>
    </w:r>
    <w:r w:rsidDel="00000000" w:rsidR="00000000" w:rsidRPr="00000000">
      <w:rPr>
        <w:b w:val="1"/>
        <w:bCs w:val="1"/>
        <w:color w:val="0000ff"/>
        <w:sz w:val="20"/>
        <w:szCs w:val="20"/>
        <w:highlight w:val="white"/>
        <w:rtl w:val="0"/>
      </w:rPr>
      <w:t xml:space="preserve">© 20XX IJMDR | Volume X, Issue X Month 20XX | (www.ijmdr.co.in)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rPr/>
    </w:pPr>
    <w:r w:rsidDel="00000000" w:rsidR="00000000" w:rsidRPr="00000000">
      <w:rPr>
        <w:rtl w:val="0"/>
      </w:rPr>
      <w:t xml:space="preserve">                                           </w:t>
    </w:r>
    <w:r w:rsidDel="00000000" w:rsidR="00000000" w:rsidRPr="00000000">
      <w:rPr>
        <w:sz w:val="20"/>
        <w:szCs w:val="20"/>
        <w:highlight w:val="white"/>
        <w:rtl w:val="0"/>
      </w:rPr>
      <w:t xml:space="preserve">© 20XX IJMDR | Volume X, Issue X Month 20XX | (www.ijmdr.co.in)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upperRoman"/>
      <w:lvlText w:val="%1."/>
      <w:lvlJc w:val="left"/>
      <w:pPr>
        <w:ind w:left="720" w:hanging="360"/>
      </w:pPr>
      <w:rPr>
        <w:rFonts w:ascii="Arial" w:cs="Arial" w:eastAsia="Arial" w:hAnsi="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b w:val="1"/>
      <w:bCs w:val="1"/>
      <w:sz w:val="36"/>
      <w:szCs w:val="36"/>
      <w:vertAlign w:val="baseline"/>
    </w:rPr>
  </w:style>
  <w:style w:type="paragraph" w:styleId="Heading3">
    <w:name w:val="heading 3"/>
    <w:basedOn w:val="Normal"/>
    <w:next w:val="Normal"/>
    <w:pPr/>
    <w:rPr>
      <w:b w:val="1"/>
      <w:bCs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9.png"/><Relationship Id="rId14" Type="http://schemas.openxmlformats.org/officeDocument/2006/relationships/image" Target="media/image5.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ijmdr.co.i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jmdr.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OekvKsXl6p6fbug+0wVTz5XXXw==">CgMxLjA4AHIhMXAxRG0yRnd3VVFGdGNjaWd6U2RhM1lwQV9MRk5ZLWlF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